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6780" w14:textId="77777777" w:rsidR="007B5A53" w:rsidRPr="007B5A53" w:rsidRDefault="007B5A53" w:rsidP="007B5A53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lang w:val="el-GR"/>
        </w:rPr>
      </w:pPr>
      <w:bookmarkStart w:id="0" w:name="_Toc191539450"/>
      <w:r w:rsidRPr="007B5A53">
        <w:rPr>
          <w:rFonts w:ascii="Arial" w:hAnsi="Arial" w:cs="Arial"/>
          <w:b/>
          <w:bCs/>
          <w:sz w:val="22"/>
          <w:lang w:val="el-GR"/>
        </w:rPr>
        <w:t xml:space="preserve">ΠΑΡΑΡΤΗΜΑ </w:t>
      </w:r>
      <w:r w:rsidRPr="007B5A53">
        <w:rPr>
          <w:rFonts w:ascii="Arial" w:hAnsi="Arial" w:cs="Arial"/>
          <w:b/>
          <w:bCs/>
          <w:sz w:val="22"/>
          <w:lang w:val="en-US"/>
        </w:rPr>
        <w:t>I</w:t>
      </w:r>
      <w:r w:rsidRPr="007B5A53">
        <w:rPr>
          <w:rFonts w:ascii="Arial" w:hAnsi="Arial" w:cs="Arial"/>
          <w:b/>
          <w:bCs/>
          <w:sz w:val="22"/>
          <w:lang w:val="el-GR"/>
        </w:rPr>
        <w:t>ΙΙ- ΠΙΝΑΚΑΣ ΟΙΚΟΝΟΜΙΚΗΣ ΠΡΟΣΦΟΡΑΣ</w:t>
      </w:r>
      <w:bookmarkEnd w:id="0"/>
    </w:p>
    <w:p w14:paraId="2B4C8F97" w14:textId="77777777" w:rsidR="007B5A53" w:rsidRPr="007B5A53" w:rsidRDefault="007B5A53" w:rsidP="007B5A53">
      <w:pPr>
        <w:ind w:firstLine="720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332D6887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7B5A53">
        <w:rPr>
          <w:rFonts w:ascii="Arial" w:hAnsi="Arial" w:cs="Arial"/>
          <w:b/>
          <w:sz w:val="22"/>
          <w:szCs w:val="22"/>
          <w:u w:val="single"/>
          <w:lang w:val="el-GR"/>
        </w:rPr>
        <w:t>ΠΙΝΑΚΑΣ 1</w:t>
      </w:r>
    </w:p>
    <w:p w14:paraId="700FC042" w14:textId="77777777" w:rsidR="007B5A53" w:rsidRPr="007B5A53" w:rsidRDefault="007B5A53" w:rsidP="007B5A53">
      <w:pPr>
        <w:jc w:val="center"/>
        <w:rPr>
          <w:rFonts w:ascii="Arial" w:hAnsi="Arial" w:cs="Arial"/>
          <w:b/>
          <w:color w:val="FF6600"/>
          <w:sz w:val="22"/>
          <w:szCs w:val="22"/>
          <w:lang w:val="el-GR"/>
        </w:rPr>
      </w:pPr>
    </w:p>
    <w:p w14:paraId="274F8D2D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7B5A53">
        <w:rPr>
          <w:rFonts w:ascii="Arial" w:hAnsi="Arial" w:cs="Arial"/>
          <w:b/>
          <w:sz w:val="22"/>
          <w:szCs w:val="22"/>
          <w:lang w:val="el-GR"/>
        </w:rPr>
        <w:t>ΠΑΓΙΑ ΜΗΝΙΑΙΑ ΑΜΟΙΒΗ</w:t>
      </w:r>
    </w:p>
    <w:p w14:paraId="31E7D216" w14:textId="77777777" w:rsidR="007B5A53" w:rsidRPr="007B5A53" w:rsidRDefault="007B5A53" w:rsidP="007B5A53">
      <w:pPr>
        <w:jc w:val="center"/>
        <w:rPr>
          <w:rFonts w:ascii="Arial" w:hAnsi="Arial" w:cs="Arial"/>
          <w:b/>
          <w:caps/>
          <w:sz w:val="22"/>
          <w:szCs w:val="22"/>
          <w:lang w:val="el-GR"/>
        </w:rPr>
      </w:pPr>
      <w:r w:rsidRPr="007B5A53">
        <w:rPr>
          <w:rFonts w:ascii="Arial" w:hAnsi="Arial" w:cs="Arial"/>
          <w:b/>
          <w:caps/>
          <w:sz w:val="22"/>
          <w:szCs w:val="22"/>
          <w:lang w:val="el-GR"/>
        </w:rPr>
        <w:t xml:space="preserve">παροχή υπηρεσιών συντήρησης-λειτουργικής υποστήριξης των κτιριακών, ηλεκτρομηχανολογικών εγκαταστάσεων και των χώρων πρασίνου του Διεθνούς Εκθεσιακού και Συνεδριακού κέντρου Θεσσαλονίκης της ΔΕΘ-ΗΕLΕΧΡΟ ΑΕ </w:t>
      </w:r>
    </w:p>
    <w:p w14:paraId="25736E8F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58653240" w14:textId="77777777" w:rsidR="007B5A53" w:rsidRPr="007B5A53" w:rsidRDefault="007B5A53" w:rsidP="007B5A53">
      <w:pPr>
        <w:rPr>
          <w:rFonts w:ascii="Arial" w:hAnsi="Arial" w:cs="Arial"/>
          <w:b/>
          <w:sz w:val="22"/>
          <w:szCs w:val="22"/>
          <w:lang w:val="el-GR"/>
        </w:rPr>
      </w:pPr>
      <w:r w:rsidRPr="007B5A53">
        <w:rPr>
          <w:rFonts w:ascii="Arial" w:hAnsi="Arial" w:cs="Arial"/>
          <w:b/>
          <w:sz w:val="22"/>
          <w:szCs w:val="22"/>
          <w:lang w:val="el-GR"/>
        </w:rPr>
        <w:t xml:space="preserve">  Α1: Μηνιαίο τίμημα, σε ευρώ χωρίς ΦΠΑ σύμφωνα με το άρθρο 2.6.7.3</w:t>
      </w:r>
    </w:p>
    <w:p w14:paraId="3D4593F9" w14:textId="77777777" w:rsidR="007B5A53" w:rsidRPr="007B5A53" w:rsidRDefault="007B5A53" w:rsidP="007B5A53">
      <w:pPr>
        <w:rPr>
          <w:rFonts w:ascii="Arial" w:hAnsi="Arial" w:cs="Arial"/>
          <w:b/>
          <w:sz w:val="22"/>
          <w:szCs w:val="22"/>
          <w:lang w:val="el-GR"/>
        </w:rPr>
      </w:pPr>
    </w:p>
    <w:p w14:paraId="314A7F51" w14:textId="77777777" w:rsidR="007B5A53" w:rsidRPr="007B5A53" w:rsidRDefault="007B5A53" w:rsidP="007B5A53">
      <w:pPr>
        <w:ind w:left="720"/>
        <w:rPr>
          <w:rFonts w:ascii="Arial" w:hAnsi="Arial" w:cs="Arial"/>
          <w:b/>
          <w:sz w:val="22"/>
          <w:szCs w:val="22"/>
          <w:lang w:val="el-GR"/>
        </w:rPr>
      </w:pPr>
    </w:p>
    <w:p w14:paraId="12030153" w14:textId="77777777" w:rsidR="007B5A53" w:rsidRPr="007B5A53" w:rsidRDefault="007B5A53" w:rsidP="007B5A53">
      <w:pPr>
        <w:rPr>
          <w:rFonts w:ascii="Arial" w:hAnsi="Arial" w:cs="Arial"/>
          <w:b/>
          <w:sz w:val="22"/>
          <w:szCs w:val="22"/>
          <w:lang w:val="el-GR"/>
        </w:rPr>
      </w:pPr>
    </w:p>
    <w:tbl>
      <w:tblPr>
        <w:tblW w:w="11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387"/>
        <w:gridCol w:w="3483"/>
        <w:gridCol w:w="3534"/>
      </w:tblGrid>
      <w:tr w:rsidR="007B5A53" w:rsidRPr="007B5A53" w14:paraId="44B652B6" w14:textId="77777777" w:rsidTr="001E127C">
        <w:trPr>
          <w:trHeight w:val="420"/>
          <w:jc w:val="center"/>
        </w:trPr>
        <w:tc>
          <w:tcPr>
            <w:tcW w:w="3173" w:type="dxa"/>
            <w:vAlign w:val="center"/>
          </w:tcPr>
          <w:p w14:paraId="185677C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7B5A5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Μηνιαίο τίμημα αριθμητικώς </w:t>
            </w:r>
          </w:p>
          <w:p w14:paraId="483E416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7B5A53">
              <w:rPr>
                <w:rFonts w:ascii="Arial" w:hAnsi="Arial" w:cs="Arial"/>
                <w:b/>
                <w:sz w:val="18"/>
                <w:szCs w:val="18"/>
                <w:lang w:val="el-GR"/>
              </w:rPr>
              <w:t>(σε ευρώ χωρίς ΦΠΑ)</w:t>
            </w:r>
          </w:p>
        </w:tc>
        <w:tc>
          <w:tcPr>
            <w:tcW w:w="1387" w:type="dxa"/>
            <w:vAlign w:val="center"/>
          </w:tcPr>
          <w:p w14:paraId="1760993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A53">
              <w:rPr>
                <w:rFonts w:ascii="Arial" w:hAnsi="Arial" w:cs="Arial"/>
                <w:b/>
                <w:sz w:val="18"/>
                <w:szCs w:val="18"/>
                <w:lang w:val="el-GR"/>
              </w:rPr>
              <w:t>Μήνες</w:t>
            </w:r>
          </w:p>
        </w:tc>
        <w:tc>
          <w:tcPr>
            <w:tcW w:w="3483" w:type="dxa"/>
            <w:vAlign w:val="center"/>
          </w:tcPr>
          <w:p w14:paraId="6FE18ED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Σύνολο ετήσιας δαπάνης</w:t>
            </w:r>
          </w:p>
          <w:p w14:paraId="3B30D39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(σε ευρώ χωρίς ΦΠΑ)</w:t>
            </w:r>
          </w:p>
          <w:p w14:paraId="5B326F2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(Α1)</w:t>
            </w:r>
          </w:p>
          <w:p w14:paraId="38DFB59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534" w:type="dxa"/>
          </w:tcPr>
          <w:p w14:paraId="79471E9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Ολογράφως </w:t>
            </w:r>
          </w:p>
          <w:p w14:paraId="386CE5B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(Α1)</w:t>
            </w:r>
          </w:p>
        </w:tc>
      </w:tr>
      <w:tr w:rsidR="007B5A53" w:rsidRPr="007B5A53" w14:paraId="4AEF13FB" w14:textId="77777777" w:rsidTr="001E127C">
        <w:trPr>
          <w:trHeight w:val="398"/>
          <w:jc w:val="center"/>
        </w:trPr>
        <w:tc>
          <w:tcPr>
            <w:tcW w:w="3173" w:type="dxa"/>
            <w:vAlign w:val="center"/>
          </w:tcPr>
          <w:p w14:paraId="218FDBC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26EFE61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5C5BF1E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387" w:type="dxa"/>
            <w:vAlign w:val="center"/>
          </w:tcPr>
          <w:p w14:paraId="4E5BFF1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7B5A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7B5A53">
              <w:rPr>
                <w:rFonts w:ascii="Arial" w:hAnsi="Arial" w:cs="Arial"/>
                <w:b/>
                <w:sz w:val="18"/>
                <w:szCs w:val="18"/>
                <w:lang w:val="el-GR"/>
              </w:rPr>
              <w:t>12</w:t>
            </w:r>
          </w:p>
        </w:tc>
        <w:tc>
          <w:tcPr>
            <w:tcW w:w="3483" w:type="dxa"/>
            <w:vAlign w:val="center"/>
          </w:tcPr>
          <w:p w14:paraId="3A54E1F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4" w:type="dxa"/>
          </w:tcPr>
          <w:p w14:paraId="656E138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DE4F09" w14:textId="77777777" w:rsidR="007B5A53" w:rsidRPr="007B5A53" w:rsidRDefault="007B5A53" w:rsidP="007B5A53">
      <w:pPr>
        <w:rPr>
          <w:rFonts w:ascii="Arial" w:hAnsi="Arial" w:cs="Arial"/>
          <w:b/>
          <w:sz w:val="18"/>
          <w:szCs w:val="18"/>
          <w:lang w:val="el-GR"/>
        </w:rPr>
      </w:pPr>
    </w:p>
    <w:p w14:paraId="7B8AF7B7" w14:textId="77777777" w:rsidR="007B5A53" w:rsidRPr="007B5A53" w:rsidRDefault="007B5A53" w:rsidP="007B5A53">
      <w:pPr>
        <w:rPr>
          <w:rFonts w:ascii="Arial" w:hAnsi="Arial" w:cs="Arial"/>
          <w:sz w:val="20"/>
          <w:szCs w:val="20"/>
          <w:lang w:val="el-GR"/>
        </w:rPr>
      </w:pPr>
    </w:p>
    <w:p w14:paraId="1D4E1374" w14:textId="77777777" w:rsidR="007B5A53" w:rsidRPr="007B5A53" w:rsidRDefault="007B5A53" w:rsidP="007B5A53">
      <w:pPr>
        <w:rPr>
          <w:rFonts w:ascii="Arial" w:hAnsi="Arial" w:cs="Arial"/>
          <w:sz w:val="20"/>
          <w:szCs w:val="20"/>
          <w:lang w:val="el-GR"/>
        </w:rPr>
      </w:pPr>
      <w:r w:rsidRPr="007B5A53">
        <w:rPr>
          <w:rFonts w:ascii="Arial" w:hAnsi="Arial" w:cs="Arial"/>
          <w:sz w:val="20"/>
          <w:szCs w:val="20"/>
          <w:lang w:val="el-GR"/>
        </w:rPr>
        <w:br w:type="column"/>
      </w:r>
    </w:p>
    <w:p w14:paraId="574D193D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7B5A53">
        <w:rPr>
          <w:rFonts w:ascii="Arial" w:hAnsi="Arial" w:cs="Arial"/>
          <w:b/>
          <w:sz w:val="22"/>
          <w:szCs w:val="22"/>
          <w:u w:val="single"/>
          <w:lang w:val="el-GR"/>
        </w:rPr>
        <w:t>ΠΙΝΑΚΑΣ 2</w:t>
      </w:r>
    </w:p>
    <w:p w14:paraId="43CE19AB" w14:textId="77777777" w:rsidR="007B5A53" w:rsidRPr="007B5A53" w:rsidRDefault="007B5A53" w:rsidP="007B5A53">
      <w:pPr>
        <w:rPr>
          <w:rFonts w:ascii="Arial" w:hAnsi="Arial" w:cs="Arial"/>
          <w:b/>
          <w:szCs w:val="22"/>
          <w:u w:val="single"/>
          <w:lang w:val="el-GR"/>
        </w:rPr>
      </w:pPr>
    </w:p>
    <w:p w14:paraId="54BB8D29" w14:textId="77777777" w:rsidR="007B5A53" w:rsidRPr="007B5A53" w:rsidRDefault="007B5A53" w:rsidP="007B5A53">
      <w:pPr>
        <w:rPr>
          <w:rFonts w:ascii="Arial" w:hAnsi="Arial" w:cs="Arial"/>
          <w:b/>
          <w:sz w:val="22"/>
          <w:szCs w:val="20"/>
          <w:lang w:val="el-GR"/>
        </w:rPr>
      </w:pPr>
      <w:r w:rsidRPr="007B5A53">
        <w:rPr>
          <w:rFonts w:ascii="Arial" w:hAnsi="Arial" w:cs="Arial"/>
          <w:b/>
          <w:sz w:val="22"/>
          <w:szCs w:val="20"/>
          <w:lang w:val="el-GR"/>
        </w:rPr>
        <w:t xml:space="preserve">Α2: Πρόσθετες αμοιβές μόνιμου προσωπικού σε </w:t>
      </w:r>
      <w:r w:rsidRPr="007B5A53">
        <w:rPr>
          <w:rFonts w:ascii="Arial" w:hAnsi="Arial" w:cs="Arial"/>
          <w:b/>
          <w:sz w:val="22"/>
          <w:szCs w:val="20"/>
          <w:u w:val="single"/>
          <w:lang w:val="el-GR"/>
        </w:rPr>
        <w:t xml:space="preserve">ετήσια </w:t>
      </w:r>
      <w:r w:rsidRPr="007B5A53">
        <w:rPr>
          <w:rFonts w:ascii="Arial" w:hAnsi="Arial" w:cs="Arial"/>
          <w:b/>
          <w:sz w:val="22"/>
          <w:szCs w:val="20"/>
          <w:lang w:val="el-GR"/>
        </w:rPr>
        <w:t>βάση επί πλέον της πάγιας μηνιαίας αμοιβής, σε ευρώ χωρίς ΦΠΑ, σύμφωνα με το άρθρο 2.6.7.3</w:t>
      </w:r>
    </w:p>
    <w:tbl>
      <w:tblPr>
        <w:tblW w:w="14649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942"/>
        <w:gridCol w:w="587"/>
        <w:gridCol w:w="605"/>
        <w:gridCol w:w="8"/>
        <w:gridCol w:w="591"/>
        <w:gridCol w:w="635"/>
        <w:gridCol w:w="567"/>
        <w:gridCol w:w="597"/>
        <w:gridCol w:w="683"/>
        <w:gridCol w:w="512"/>
        <w:gridCol w:w="596"/>
        <w:gridCol w:w="593"/>
        <w:gridCol w:w="567"/>
        <w:gridCol w:w="639"/>
        <w:gridCol w:w="637"/>
        <w:gridCol w:w="567"/>
        <w:gridCol w:w="595"/>
        <w:gridCol w:w="689"/>
        <w:gridCol w:w="506"/>
        <w:gridCol w:w="596"/>
        <w:gridCol w:w="595"/>
        <w:gridCol w:w="10"/>
        <w:gridCol w:w="590"/>
        <w:gridCol w:w="596"/>
      </w:tblGrid>
      <w:tr w:rsidR="007B5A53" w:rsidRPr="007B5A53" w14:paraId="1A27DA91" w14:textId="77777777" w:rsidTr="001E127C">
        <w:trPr>
          <w:trHeight w:val="540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3482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937CA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381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1B18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Καθημερινή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4CEA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Σάββατο</w:t>
            </w:r>
          </w:p>
        </w:tc>
        <w:tc>
          <w:tcPr>
            <w:tcW w:w="5381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9B0F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Κυριακή</w:t>
            </w:r>
          </w:p>
        </w:tc>
      </w:tr>
      <w:tr w:rsidR="007B5A53" w:rsidRPr="007B5A53" w14:paraId="12715DC5" w14:textId="77777777" w:rsidTr="001E127C">
        <w:trPr>
          <w:trHeight w:val="1020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89B6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B1F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 αναφοράς (ώρα)</w:t>
            </w:r>
          </w:p>
        </w:tc>
        <w:tc>
          <w:tcPr>
            <w:tcW w:w="179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076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Υπερεργασία (ώρες)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4179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Υπερωρία (ώρες)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9BF4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Νυχτερινό (22.00-06.00) (ώρες)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C660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Σάββατο ημερήσιο ωράριο (ώρες)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125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 xml:space="preserve">Κυριακή ημερήσιο ωράριο </w:t>
            </w: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(ώρες)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5CB7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Υπερωρία (ώρες)</w:t>
            </w:r>
          </w:p>
        </w:tc>
        <w:tc>
          <w:tcPr>
            <w:tcW w:w="179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AD7B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Νυχτερινό (22.00-06.00)</w:t>
            </w:r>
          </w:p>
        </w:tc>
      </w:tr>
      <w:tr w:rsidR="007B5A53" w:rsidRPr="007B5A53" w14:paraId="77E66F14" w14:textId="77777777" w:rsidTr="001E127C">
        <w:trPr>
          <w:trHeight w:val="540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7187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AB0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F3D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8A7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F21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F21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036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058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924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F11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475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A6B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0A6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13B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4EC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5AA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917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18C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A45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AF3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C1D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ώρες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3E2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776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αξία</w:t>
            </w:r>
          </w:p>
        </w:tc>
      </w:tr>
      <w:tr w:rsidR="007B5A53" w:rsidRPr="007B5A53" w14:paraId="752BDAA6" w14:textId="77777777" w:rsidTr="001E127C">
        <w:trPr>
          <w:trHeight w:val="1350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545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Μόνιμο Προσωπικό πλην Διευθυντή έργου  (20 άτομα)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740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3C5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1000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6D0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F2F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D6A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C3B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2C9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0A1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7DF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C79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BE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3000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2D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A4C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AF7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3000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83C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5DB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8D0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450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CF5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CE6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C79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CFF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DD9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7B5A53" w:rsidRPr="007B5A53" w14:paraId="02AA9EA0" w14:textId="77777777" w:rsidTr="001E127C">
        <w:trPr>
          <w:trHeight w:val="995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7013D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Διευθυντής έργου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B694A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160D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100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35A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12DA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21B0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43CA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6B8D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DED7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D48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456B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096D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8359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D8AA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CC82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160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6CBA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F463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4AA0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30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CB64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9777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805F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A8FF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163B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B5A53" w:rsidRPr="007B5A53" w14:paraId="2604ADBF" w14:textId="77777777" w:rsidTr="001E127C">
        <w:trPr>
          <w:trHeight w:val="517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165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Σύνολα αξίας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27D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17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407B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(α)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9FD6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(β)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628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(γ)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F0C5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(δ)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A1E4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(ε)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8898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</w:t>
            </w:r>
            <w:proofErr w:type="spellStart"/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στ</w:t>
            </w:r>
            <w:proofErr w:type="spellEnd"/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7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18E1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(ζ)</w:t>
            </w:r>
          </w:p>
        </w:tc>
      </w:tr>
      <w:tr w:rsidR="007B5A53" w:rsidRPr="007B5A53" w14:paraId="1192B3AE" w14:textId="77777777" w:rsidTr="001E127C">
        <w:trPr>
          <w:trHeight w:val="517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A4471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6489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DD289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28180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EDA07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EFFCE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863B1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55FAE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7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48301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B5A53" w:rsidRPr="007B5A53" w14:paraId="2E63AC93" w14:textId="77777777" w:rsidTr="001E127C">
        <w:trPr>
          <w:trHeight w:val="555"/>
          <w:jc w:val="center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C67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Γενικό σύνολο (Α2) (</w:t>
            </w:r>
            <w:proofErr w:type="spellStart"/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α+β+γ+δ+ε+στ+ζ</w:t>
            </w:r>
            <w:proofErr w:type="spellEnd"/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) (σε ευρώ χωρίς ΦΠΑ)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B70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12561" w:type="dxa"/>
            <w:gridSpan w:val="2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4468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7B5A53" w:rsidRPr="007B5A53" w14:paraId="7CD8844C" w14:textId="77777777" w:rsidTr="001E127C">
        <w:trPr>
          <w:trHeight w:val="353"/>
          <w:jc w:val="center"/>
        </w:trPr>
        <w:tc>
          <w:tcPr>
            <w:tcW w:w="114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E047F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3589E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561" w:type="dxa"/>
            <w:gridSpan w:val="23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F90F9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B5A53" w:rsidRPr="007B5A53" w14:paraId="375AF6DA" w14:textId="77777777" w:rsidTr="001E127C">
        <w:trPr>
          <w:trHeight w:val="672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536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Ολογράφως (Α2)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FFD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Χ</w:t>
            </w:r>
          </w:p>
        </w:tc>
        <w:tc>
          <w:tcPr>
            <w:tcW w:w="1256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BA7A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7B5A53">
              <w:rPr>
                <w:rFonts w:ascii="Arial" w:hAnsi="Arial" w:cs="Arial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14:paraId="29ED65BF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222222"/>
          <w:sz w:val="22"/>
          <w:szCs w:val="22"/>
          <w:lang w:val="el-GR" w:eastAsia="el-GR"/>
        </w:rPr>
      </w:pPr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lastRenderedPageBreak/>
        <w:t xml:space="preserve">Ως Υπερεργασία νοείται η υπέρβαση του </w:t>
      </w:r>
      <w:proofErr w:type="spellStart"/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t>νομίμου</w:t>
      </w:r>
      <w:proofErr w:type="spellEnd"/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t xml:space="preserve"> ωραρίου (οκταώρου) εργαζομένου κατά μία ώρα ημερησίως και μέχρι τις 45 ώρες εβδομαδιαίως σε σύστημα πενθήμερης εργασίας ή μέχρι τις 48 ώρες εβδομαδιαίως σε σύστημα εξαήμερης εργασίας, εκτός αν άλλως οριστεί από τις διατάξεις εργατικής νομοθεσίας</w:t>
      </w:r>
    </w:p>
    <w:p w14:paraId="13650E0E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222222"/>
          <w:sz w:val="22"/>
          <w:szCs w:val="22"/>
          <w:lang w:val="el-GR" w:eastAsia="el-GR"/>
        </w:rPr>
      </w:pPr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t>Ως Υπερωρία νοείται η πέραν των ορίων της υπερεργασίας ημερήσια και εβδομαδιαία απασχόληση εργαζομένου και μέχρι τη συμπλήρωση 120 ωρών ετησίως</w:t>
      </w:r>
    </w:p>
    <w:p w14:paraId="26D8F55F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222222"/>
          <w:sz w:val="22"/>
          <w:szCs w:val="22"/>
          <w:lang w:val="el-GR" w:eastAsia="el-GR"/>
        </w:rPr>
      </w:pPr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t>Ως νύκτα θεωρείται το διάστημα από 22:00 έως 06:00.</w:t>
      </w:r>
    </w:p>
    <w:p w14:paraId="6C49FF85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 xml:space="preserve">Η τιμή κανονικού ωρομισθίου δίδεται ως τιμή αναφοράς και δεν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προσμετράται</w:t>
      </w:r>
      <w:proofErr w:type="spellEnd"/>
      <w:r w:rsidRPr="007B5A53">
        <w:rPr>
          <w:rFonts w:ascii="Arial" w:hAnsi="Arial" w:cs="Arial"/>
          <w:sz w:val="22"/>
          <w:szCs w:val="22"/>
          <w:lang w:val="el-GR"/>
        </w:rPr>
        <w:t xml:space="preserve"> για την εύρεση της τελικής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πρσφερόμενης</w:t>
      </w:r>
      <w:proofErr w:type="spellEnd"/>
      <w:r w:rsidRPr="007B5A53">
        <w:rPr>
          <w:rFonts w:ascii="Arial" w:hAnsi="Arial" w:cs="Arial"/>
          <w:sz w:val="22"/>
          <w:szCs w:val="22"/>
          <w:lang w:val="el-GR"/>
        </w:rPr>
        <w:t xml:space="preserve">  τιμής της κατηγορίας αυτής, καθώς η τιμή κανονικού ωρομισθίου έχει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συμβασιοποιηθεί</w:t>
      </w:r>
      <w:proofErr w:type="spellEnd"/>
      <w:r w:rsidRPr="007B5A53">
        <w:rPr>
          <w:rFonts w:ascii="Arial" w:hAnsi="Arial" w:cs="Arial"/>
          <w:sz w:val="22"/>
          <w:szCs w:val="22"/>
          <w:lang w:val="el-GR"/>
        </w:rPr>
        <w:t xml:space="preserve"> στη κατηγορία Α (Πάγια μηνιαία αμοιβή του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προσφέροντ</w:t>
      </w:r>
      <w:proofErr w:type="spellEnd"/>
      <w:r w:rsidRPr="007B5A53">
        <w:rPr>
          <w:rFonts w:ascii="Arial" w:hAnsi="Arial" w:cs="Arial"/>
          <w:sz w:val="22"/>
          <w:szCs w:val="22"/>
          <w:lang w:val="en-US"/>
        </w:rPr>
        <w:t>o</w:t>
      </w:r>
      <w:r w:rsidRPr="007B5A53">
        <w:rPr>
          <w:rFonts w:ascii="Arial" w:hAnsi="Arial" w:cs="Arial"/>
          <w:sz w:val="22"/>
          <w:szCs w:val="22"/>
          <w:lang w:val="el-GR"/>
        </w:rPr>
        <w:t>ς) και έχει υπολογιστεί στον Πίνακα 1.</w:t>
      </w:r>
    </w:p>
    <w:p w14:paraId="6DDC927E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>Όλες οι τιμές που θα δοθούν για το Μόνιμο Προσωπικό πλην διευθυντή έργου προκύπτουν από την τιμή αναφοράς με βάση τις νόμιμες προσαυξήσεις.</w:t>
      </w:r>
    </w:p>
    <w:p w14:paraId="41ECCB4F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>Βάσει της τιμής αναφοράς επίσης υπολογίζεται η μείωση του παγίου κόστους σε περίπτωση μείωσης αριθμού μόνιμου προσωπικού ή σε περίπτωση αδικαιολόγητης απουσίας του εν λόγω προσωπικού σύμφωνα με όσα αναφέρονται στην κατωτέρω παράγραφο Δ.</w:t>
      </w:r>
    </w:p>
    <w:p w14:paraId="34405FF4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>Η εργασία κατά την ημέρα του Σαββάτου θεωρείται και δίδεται στον εργαζόμενο ως ημέρα εβδομαδιαίας αναπαύσεως (ρεπό). Στην ημέρα εβδομαδιαίας αναπαύσεως το μόνιμο προσωπικό θα πρέπει να αναπληρώνεται από έκτακτό προσωπικό.</w:t>
      </w:r>
    </w:p>
    <w:p w14:paraId="24ADEDB5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 xml:space="preserve">Δεν επιτρέπεται υπερωριακή απασχόληση εργαζομένου πέραν των 120 ωρών ετησίως. </w:t>
      </w:r>
    </w:p>
    <w:p w14:paraId="3F84F8F8" w14:textId="77777777" w:rsidR="007B5A53" w:rsidRPr="007B5A53" w:rsidRDefault="007B5A53" w:rsidP="007B5A53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7B5A53">
        <w:rPr>
          <w:rFonts w:ascii="Arial" w:hAnsi="Arial" w:cs="Arial"/>
          <w:bCs/>
          <w:sz w:val="22"/>
          <w:szCs w:val="22"/>
          <w:lang w:val="el-GR"/>
        </w:rPr>
        <w:t>Στις προσφερόμενες τιμές περιλαμβάνονται όλες οι δαπάνες τεχνικού προσωπικού, που αναφέρονται ανωτέρω υπό Α, ενώ έχει υπολογιστεί από τους υποψηφίους οικονομικούς φορείς τουλάχιστον 3% ποσοστό διοικητικού κόστους παροχής των υπηρεσιών τους και τουλάχιστον 2% ποσοστό, του εργολαβικού τους κέρδους.</w:t>
      </w:r>
    </w:p>
    <w:p w14:paraId="6B500F1E" w14:textId="77777777" w:rsidR="007B5A53" w:rsidRPr="007B5A53" w:rsidRDefault="007B5A53" w:rsidP="007B5A53">
      <w:pPr>
        <w:numPr>
          <w:ilvl w:val="0"/>
          <w:numId w:val="7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 xml:space="preserve">Οι αναφερόμενες ανθρωποώρες υπέρβασης συμβατικού ωραρίου, αν και έχουν υπολογιστεί με τη μεγαλύτερη δυνατή ακρίβεια, λόγω της φύσης των υπηρεσιών πρέπει να θεωρηθεί </w:t>
      </w:r>
      <w:r w:rsidRPr="007B5A53">
        <w:rPr>
          <w:rFonts w:ascii="Arial" w:hAnsi="Arial" w:cs="Arial"/>
          <w:sz w:val="22"/>
          <w:szCs w:val="22"/>
          <w:u w:val="single"/>
          <w:lang w:val="el-GR"/>
        </w:rPr>
        <w:t>ενδεικτικές</w:t>
      </w:r>
      <w:r w:rsidRPr="007B5A53">
        <w:rPr>
          <w:rFonts w:ascii="Arial" w:hAnsi="Arial" w:cs="Arial"/>
          <w:sz w:val="22"/>
          <w:szCs w:val="22"/>
          <w:lang w:val="el-GR"/>
        </w:rPr>
        <w:t xml:space="preserve"> από τους οικονομικούς φορείς. Οποιαδήποτε μεταβολή τους, έστω και σημαντική, δεν επηρεάζει σε καμία περίπτωση την τιμή ανθρωποώρας που θα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συμβασιοποιηθεί</w:t>
      </w:r>
      <w:proofErr w:type="spellEnd"/>
      <w:r w:rsidRPr="007B5A53">
        <w:rPr>
          <w:rFonts w:ascii="Arial" w:hAnsi="Arial" w:cs="Arial"/>
          <w:sz w:val="22"/>
          <w:szCs w:val="22"/>
          <w:lang w:val="el-GR"/>
        </w:rPr>
        <w:t xml:space="preserve"> ανά κατηγορία, και δεν δίνει δικαίωμα στον ανάδοχο να εγείρει αξιώσεις για την καταβολή υψηλότερου τιμήματος.</w:t>
      </w:r>
    </w:p>
    <w:p w14:paraId="7960E79C" w14:textId="77777777" w:rsidR="007B5A53" w:rsidRPr="007B5A53" w:rsidRDefault="007B5A53" w:rsidP="007B5A53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7B5A53">
        <w:rPr>
          <w:rFonts w:ascii="Arial" w:hAnsi="Arial" w:cs="Arial"/>
          <w:bCs/>
          <w:sz w:val="22"/>
          <w:szCs w:val="22"/>
          <w:lang w:val="el-GR"/>
        </w:rPr>
        <w:t>Η τελική αμοιβή του Αναδόχου για την κατά τα ανωτέρω παροχή υπηρεσιών μονίμου προσωπικού πέραν του ημερησίου ωραρίου της περίπτωσης Α θα καταβάλλεται εφόσον παρασχεθεί η αντίστοιχη εργασία</w:t>
      </w:r>
    </w:p>
    <w:p w14:paraId="15A2334D" w14:textId="77777777" w:rsidR="007B5A53" w:rsidRPr="007B5A53" w:rsidRDefault="007B5A53" w:rsidP="007B5A53">
      <w:pPr>
        <w:rPr>
          <w:rFonts w:ascii="Arial" w:hAnsi="Arial" w:cs="Arial"/>
          <w:bCs/>
          <w:sz w:val="22"/>
          <w:szCs w:val="22"/>
          <w:lang w:val="el-GR"/>
        </w:rPr>
      </w:pPr>
      <w:r w:rsidRPr="007B5A53">
        <w:rPr>
          <w:rFonts w:cs="Arial"/>
          <w:bCs/>
          <w:sz w:val="22"/>
          <w:szCs w:val="22"/>
          <w:lang w:val="el-GR"/>
        </w:rPr>
        <w:br w:type="page"/>
      </w:r>
    </w:p>
    <w:p w14:paraId="4BBF5E5C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7B5A53">
        <w:rPr>
          <w:rFonts w:ascii="Arial" w:hAnsi="Arial" w:cs="Arial"/>
          <w:b/>
          <w:sz w:val="22"/>
          <w:szCs w:val="22"/>
          <w:u w:val="single"/>
          <w:lang w:val="el-GR"/>
        </w:rPr>
        <w:lastRenderedPageBreak/>
        <w:t>ΠΙΝΑΚΑΣ 3</w:t>
      </w:r>
    </w:p>
    <w:p w14:paraId="0793BFC0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4A2FD170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0"/>
          <w:lang w:val="el-GR"/>
        </w:rPr>
      </w:pPr>
    </w:p>
    <w:p w14:paraId="2782815E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0"/>
          <w:lang w:val="el-GR"/>
        </w:rPr>
      </w:pPr>
      <w:r w:rsidRPr="007B5A53">
        <w:rPr>
          <w:rFonts w:ascii="Arial" w:hAnsi="Arial" w:cs="Arial"/>
          <w:b/>
          <w:sz w:val="22"/>
          <w:szCs w:val="20"/>
          <w:lang w:val="el-GR"/>
        </w:rPr>
        <w:t xml:space="preserve">Α3: Αμοιβές έκτακτου προσωπικού σε </w:t>
      </w:r>
      <w:r w:rsidRPr="007B5A53">
        <w:rPr>
          <w:rFonts w:ascii="Arial" w:hAnsi="Arial" w:cs="Arial"/>
          <w:b/>
          <w:sz w:val="22"/>
          <w:szCs w:val="20"/>
          <w:u w:val="single"/>
          <w:lang w:val="el-GR"/>
        </w:rPr>
        <w:t xml:space="preserve">ετήσια </w:t>
      </w:r>
      <w:r w:rsidRPr="007B5A53">
        <w:rPr>
          <w:rFonts w:ascii="Arial" w:hAnsi="Arial" w:cs="Arial"/>
          <w:b/>
          <w:sz w:val="22"/>
          <w:szCs w:val="20"/>
          <w:lang w:val="el-GR"/>
        </w:rPr>
        <w:t>βάση, σε ευρώ χωρίς ΦΠΑ, σύμφωνα με το άρθρο 2.6.7.3</w:t>
      </w:r>
    </w:p>
    <w:p w14:paraId="54A9B828" w14:textId="77777777" w:rsidR="007B5A53" w:rsidRPr="007B5A53" w:rsidRDefault="007B5A53" w:rsidP="007B5A53">
      <w:pPr>
        <w:jc w:val="center"/>
        <w:rPr>
          <w:rFonts w:ascii="Arial" w:hAnsi="Arial" w:cs="Arial"/>
          <w:b/>
          <w:sz w:val="22"/>
          <w:szCs w:val="20"/>
          <w:lang w:val="el-GR"/>
        </w:rPr>
      </w:pPr>
    </w:p>
    <w:p w14:paraId="0E0ABB8A" w14:textId="77777777" w:rsidR="007B5A53" w:rsidRPr="007B5A53" w:rsidRDefault="007B5A53" w:rsidP="007B5A53">
      <w:pPr>
        <w:jc w:val="center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636"/>
        <w:gridCol w:w="539"/>
        <w:gridCol w:w="675"/>
        <w:gridCol w:w="675"/>
        <w:gridCol w:w="675"/>
        <w:gridCol w:w="541"/>
        <w:gridCol w:w="674"/>
        <w:gridCol w:w="540"/>
        <w:gridCol w:w="676"/>
        <w:gridCol w:w="810"/>
        <w:gridCol w:w="674"/>
        <w:gridCol w:w="682"/>
        <w:gridCol w:w="810"/>
        <w:gridCol w:w="674"/>
        <w:gridCol w:w="813"/>
        <w:gridCol w:w="675"/>
        <w:gridCol w:w="540"/>
        <w:gridCol w:w="542"/>
        <w:gridCol w:w="809"/>
        <w:gridCol w:w="540"/>
        <w:gridCol w:w="546"/>
      </w:tblGrid>
      <w:tr w:rsidR="007B5A53" w:rsidRPr="007B5A53" w14:paraId="59DDF203" w14:textId="77777777" w:rsidTr="001E127C">
        <w:trPr>
          <w:trHeight w:val="64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4AE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CC2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Καθημερινή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3A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14:paraId="6301DF3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Κυριακή/αργίες</w:t>
            </w:r>
          </w:p>
        </w:tc>
      </w:tr>
      <w:tr w:rsidR="007B5A53" w:rsidRPr="007B5A53" w14:paraId="157337E4" w14:textId="77777777" w:rsidTr="001E127C">
        <w:trPr>
          <w:trHeight w:val="97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88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9BB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Ωρομίσθιο</w:t>
            </w:r>
          </w:p>
          <w:p w14:paraId="47AC980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DDE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Υπερεργασία</w:t>
            </w:r>
          </w:p>
          <w:p w14:paraId="36BA9CB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025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Υπερωρία</w:t>
            </w:r>
          </w:p>
          <w:p w14:paraId="173629C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DDD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14:paraId="2765129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Νυχτερινό (22.00-06.00)</w:t>
            </w:r>
          </w:p>
          <w:p w14:paraId="6B872A9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0E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  <w:p w14:paraId="6349F34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Ωρομίσθιο</w:t>
            </w:r>
          </w:p>
          <w:p w14:paraId="2707E9A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72B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Υπερωρία</w:t>
            </w:r>
          </w:p>
          <w:p w14:paraId="0DEA447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(ώρες)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EBC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Νυχτερινό</w:t>
            </w:r>
          </w:p>
          <w:p w14:paraId="0E72491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 xml:space="preserve"> (22.00-06.00)</w:t>
            </w:r>
          </w:p>
          <w:p w14:paraId="516B1E3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(ώρες)</w:t>
            </w:r>
          </w:p>
        </w:tc>
      </w:tr>
      <w:tr w:rsidR="007B5A53" w:rsidRPr="007B5A53" w14:paraId="6F5C3643" w14:textId="77777777" w:rsidTr="001E127C">
        <w:trPr>
          <w:trHeight w:val="8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EEB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Κατηγορία</w:t>
            </w:r>
          </w:p>
          <w:p w14:paraId="635A720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Εργαζομένων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DD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28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9C1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47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3F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C9A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26B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4D6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6D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D78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E6D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46F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185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CA2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BF4A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7AC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4E7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5F2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A00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6B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τιμή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515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αξία</w:t>
            </w:r>
          </w:p>
        </w:tc>
      </w:tr>
      <w:tr w:rsidR="007B5A53" w:rsidRPr="007B5A53" w14:paraId="343E5F4D" w14:textId="77777777" w:rsidTr="001E127C">
        <w:trPr>
          <w:trHeight w:val="102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9E2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Έκτακτο</w:t>
            </w:r>
          </w:p>
          <w:p w14:paraId="29B1202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προσωπικό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0236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n-US"/>
              </w:rPr>
              <w:t>3.200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22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4E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BDB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185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18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45F2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27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8F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958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C1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28C0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1D0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FC3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AE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CD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2CD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63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979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0A8C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10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7B5A53" w:rsidRPr="007B5A53" w14:paraId="7129D7B1" w14:textId="77777777" w:rsidTr="001E127C">
        <w:trPr>
          <w:trHeight w:val="84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D3B4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Σύνολο αξίας</w:t>
            </w:r>
          </w:p>
          <w:p w14:paraId="00F88C3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σε ευρώ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DC11" w14:textId="77777777" w:rsidR="007B5A53" w:rsidRPr="007B5A53" w:rsidRDefault="007B5A53" w:rsidP="007B5A53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(η)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9F5" w14:textId="77777777" w:rsidR="007B5A53" w:rsidRPr="007B5A53" w:rsidRDefault="007B5A53" w:rsidP="007B5A53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2E2" w14:textId="77777777" w:rsidR="007B5A53" w:rsidRPr="007B5A53" w:rsidRDefault="007B5A53" w:rsidP="007B5A53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(ι)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8AA4" w14:textId="77777777" w:rsidR="007B5A53" w:rsidRPr="007B5A53" w:rsidRDefault="007B5A53" w:rsidP="007B5A53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(κ)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472" w14:textId="77777777" w:rsidR="007B5A53" w:rsidRPr="007B5A53" w:rsidRDefault="007B5A53" w:rsidP="007B5A53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(λ)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C1B" w14:textId="77777777" w:rsidR="007B5A53" w:rsidRPr="007B5A53" w:rsidRDefault="007B5A53" w:rsidP="007B5A53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(μ)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3E40" w14:textId="77777777" w:rsidR="007B5A53" w:rsidRPr="007B5A53" w:rsidRDefault="007B5A53" w:rsidP="007B5A53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B5A53">
              <w:rPr>
                <w:rFonts w:ascii="Arial" w:hAnsi="Arial" w:cs="Arial"/>
                <w:b/>
                <w:sz w:val="16"/>
                <w:szCs w:val="16"/>
                <w:lang w:val="el-GR"/>
              </w:rPr>
              <w:t>(ν)</w:t>
            </w:r>
          </w:p>
        </w:tc>
      </w:tr>
      <w:tr w:rsidR="007B5A53" w:rsidRPr="007B5A53" w14:paraId="2674E6D1" w14:textId="77777777" w:rsidTr="001E127C">
        <w:trPr>
          <w:trHeight w:val="69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537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7B1D445B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Γενικό σύνολο (Α3)</w:t>
            </w:r>
          </w:p>
          <w:p w14:paraId="2CD44E1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proofErr w:type="spellStart"/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η+θ+ι+κ+λ+μ+ν</w:t>
            </w:r>
            <w:proofErr w:type="spellEnd"/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  <w:p w14:paraId="67C5C6D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(σε ευρώ χωρίς ΦΠΑ)</w:t>
            </w:r>
          </w:p>
          <w:p w14:paraId="296AF0B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06A0791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3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2E95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7B5A53" w:rsidRPr="007B5A53" w14:paraId="6B4B5739" w14:textId="77777777" w:rsidTr="001E127C">
        <w:trPr>
          <w:trHeight w:val="69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DD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Ολογράφως (Α3)</w:t>
            </w:r>
          </w:p>
        </w:tc>
        <w:tc>
          <w:tcPr>
            <w:tcW w:w="13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A71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5E0C0F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4F61BEFA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jc w:val="both"/>
        <w:rPr>
          <w:rFonts w:ascii="Arial" w:hAnsi="Arial" w:cs="Arial"/>
          <w:sz w:val="22"/>
          <w:szCs w:val="22"/>
          <w:u w:val="single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lastRenderedPageBreak/>
        <w:t xml:space="preserve">Ως Υπερεργασία νοείται η υπέρβαση του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νομίμου</w:t>
      </w:r>
      <w:proofErr w:type="spellEnd"/>
      <w:r w:rsidRPr="007B5A53">
        <w:rPr>
          <w:rFonts w:ascii="Arial" w:hAnsi="Arial" w:cs="Arial"/>
          <w:sz w:val="22"/>
          <w:szCs w:val="22"/>
          <w:lang w:val="el-GR"/>
        </w:rPr>
        <w:t xml:space="preserve"> ωραρίου (οκταώρου) εργαζομένου κατά μία ώρα ημερησίως και μέχρι τις 45 ώρες εβδομαδιαίως σε σύστημα πενθήμερης εργασίας ή μέχρι τις 48 ώρες εβδομαδιαίως σε σύστημα εξαήμερης εργασίας, εκτός αν άλλως οριστεί από τις διατάξεις εργατικής νομοθεσίας</w:t>
      </w:r>
    </w:p>
    <w:p w14:paraId="73E86305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jc w:val="both"/>
        <w:rPr>
          <w:rFonts w:ascii="Arial" w:hAnsi="Arial" w:cs="Arial"/>
          <w:sz w:val="22"/>
          <w:szCs w:val="22"/>
          <w:u w:val="single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>Ως Υπερωρία νοείται η πέραν των ορίων της υπερεργασίας ημερήσια και εβδομαδιαία απασχόληση εργαζομένου και μέχρι τη συμπλήρωση 120 ωρών ετησίως</w:t>
      </w:r>
    </w:p>
    <w:p w14:paraId="352BADBB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color w:val="222222"/>
          <w:sz w:val="22"/>
          <w:szCs w:val="22"/>
          <w:lang w:val="el-GR" w:eastAsia="el-GR"/>
        </w:rPr>
      </w:pPr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t>Ως νύκτα θεωρείται το διάστημα από 22:00 έως 06:00.</w:t>
      </w:r>
    </w:p>
    <w:p w14:paraId="67B49C99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color w:val="222222"/>
          <w:sz w:val="22"/>
          <w:szCs w:val="22"/>
          <w:lang w:val="el-GR" w:eastAsia="el-GR"/>
        </w:rPr>
        <w:t>Ως αργίες θεωρούνται οι επίσημες αργίες.</w:t>
      </w:r>
      <w:r w:rsidRPr="007B5A53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16E8863B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 xml:space="preserve">Δεν επιτρέπεται υπερωριακή απασχόληση εργαζομένου πέραν των 120 ωρών ετησίως. </w:t>
      </w:r>
    </w:p>
    <w:p w14:paraId="71724771" w14:textId="77777777" w:rsidR="007B5A53" w:rsidRPr="007B5A53" w:rsidRDefault="007B5A53" w:rsidP="007B5A53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7B5A53">
        <w:rPr>
          <w:rFonts w:ascii="Arial" w:hAnsi="Arial" w:cs="Arial"/>
          <w:bCs/>
          <w:sz w:val="22"/>
          <w:szCs w:val="22"/>
          <w:lang w:val="el-GR"/>
        </w:rPr>
        <w:t>Στις προσφερόμενες τιμές περιλαμβάνονται όλες οι δαπάνες τεχνικού προσωπικού, που αναφέρονται ανωτέρω υπό Α, ενώ έχει υπολογιστεί από τους υποψηφίους οικονομικούς φορείς τουλάχιστον 3% ποσοστό διοικητικού κόστους παροχής των υπηρεσιών τους και τουλάχιστον 2% ποσοστό, του εργολαβικού τους κέρδους.</w:t>
      </w:r>
    </w:p>
    <w:p w14:paraId="482BBB3A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sz w:val="22"/>
          <w:szCs w:val="22"/>
          <w:lang w:val="el-GR"/>
        </w:rPr>
        <w:t xml:space="preserve">Οι αναφερόμενες ανθρωποώρες, αν και έχουν υπολογιστεί με τη μεγαλύτερη δυνατή ακρίβεια, λόγω της φύσης των υπηρεσιών πρέπει να θεωρηθεί </w:t>
      </w:r>
      <w:r w:rsidRPr="007B5A53">
        <w:rPr>
          <w:rFonts w:ascii="Arial" w:hAnsi="Arial" w:cs="Arial"/>
          <w:sz w:val="22"/>
          <w:szCs w:val="22"/>
          <w:u w:val="single"/>
          <w:lang w:val="el-GR"/>
        </w:rPr>
        <w:t>ενδεικτικές</w:t>
      </w:r>
      <w:r w:rsidRPr="007B5A53">
        <w:rPr>
          <w:rFonts w:ascii="Arial" w:hAnsi="Arial" w:cs="Arial"/>
          <w:sz w:val="22"/>
          <w:szCs w:val="22"/>
          <w:lang w:val="el-GR"/>
        </w:rPr>
        <w:t xml:space="preserve"> από τους οικονομικούς φορείς. Οποιαδήποτε μεταβολή τους, έστω και σημαντική, δεν επηρεάζει σε καμία περίπτωση την τιμή ανθρωποώρας που θα </w:t>
      </w:r>
      <w:proofErr w:type="spellStart"/>
      <w:r w:rsidRPr="007B5A53">
        <w:rPr>
          <w:rFonts w:ascii="Arial" w:hAnsi="Arial" w:cs="Arial"/>
          <w:sz w:val="22"/>
          <w:szCs w:val="22"/>
          <w:lang w:val="el-GR"/>
        </w:rPr>
        <w:t>συμβασιοποιηθεί</w:t>
      </w:r>
      <w:proofErr w:type="spellEnd"/>
      <w:r w:rsidRPr="007B5A53">
        <w:rPr>
          <w:rFonts w:ascii="Arial" w:hAnsi="Arial" w:cs="Arial"/>
          <w:sz w:val="22"/>
          <w:szCs w:val="22"/>
          <w:lang w:val="el-GR"/>
        </w:rPr>
        <w:t xml:space="preserve"> ανά κατηγορία, και δεν δίνει δικαίωμα στον ανάδοχο να εγείρει αξιώσεις για την καταβολή υψηλότερου τιμήματος.</w:t>
      </w:r>
    </w:p>
    <w:p w14:paraId="50BA7F9A" w14:textId="77777777" w:rsidR="007B5A53" w:rsidRPr="007B5A53" w:rsidRDefault="007B5A53" w:rsidP="007B5A53">
      <w:pPr>
        <w:numPr>
          <w:ilvl w:val="0"/>
          <w:numId w:val="8"/>
        </w:numPr>
        <w:shd w:val="clear" w:color="auto" w:fill="FFFFFF"/>
        <w:spacing w:line="288" w:lineRule="auto"/>
        <w:contextualSpacing/>
        <w:jc w:val="both"/>
        <w:rPr>
          <w:rFonts w:ascii="Arial" w:hAnsi="Arial" w:cs="Arial"/>
          <w:sz w:val="22"/>
          <w:szCs w:val="22"/>
          <w:lang w:val="el-GR"/>
        </w:rPr>
      </w:pPr>
      <w:r w:rsidRPr="007B5A53">
        <w:rPr>
          <w:rFonts w:ascii="Arial" w:hAnsi="Arial" w:cs="Arial"/>
          <w:bCs/>
          <w:sz w:val="22"/>
          <w:szCs w:val="22"/>
          <w:lang w:val="el-GR"/>
        </w:rPr>
        <w:t>Η τελική αμοιβή του Αναδόχου για την κατά τα ανωτέρω παροχή υπηρεσιών έκτακτου προσωπικού θα καταβάλλεται εφόσον παρασχεθεί η αντίστοιχη εργασία</w:t>
      </w:r>
    </w:p>
    <w:p w14:paraId="1DBE277D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22FDB982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7AC2748F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0FE84F8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0F3FCAAE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D4F2B9C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0148D492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620F90CC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0A32BEF3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57D4313D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0271DD83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654B90BA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EFC1ADF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489FABB0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308A4E23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44E46E54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C2B2C86" w14:textId="5333C5A6" w:rsidR="007B5A53" w:rsidRPr="007B5A53" w:rsidRDefault="007B5A53" w:rsidP="007B5A53">
      <w:pPr>
        <w:jc w:val="center"/>
        <w:rPr>
          <w:rFonts w:ascii="Arial" w:hAnsi="Arial" w:cs="Arial"/>
          <w:b/>
          <w:caps/>
          <w:sz w:val="22"/>
          <w:szCs w:val="22"/>
          <w:lang w:val="el-GR"/>
        </w:rPr>
      </w:pPr>
      <w:r w:rsidRPr="007B5A53">
        <w:rPr>
          <w:rFonts w:ascii="Arial" w:hAnsi="Arial" w:cs="Arial"/>
          <w:b/>
          <w:sz w:val="22"/>
          <w:szCs w:val="22"/>
          <w:lang w:val="el-GR"/>
        </w:rPr>
        <w:lastRenderedPageBreak/>
        <w:t xml:space="preserve">ΠΙΝΑΚΑΣ 4 : ΣΥΝΟΛΙΚΗ ΠΡΟΣΦΕΡΟΜΕΝΗ ΑΜΟΙΒΗ ΓΙΑ ΤΗΝ  </w:t>
      </w:r>
      <w:r w:rsidRPr="007B5A53">
        <w:rPr>
          <w:rFonts w:ascii="Arial" w:hAnsi="Arial" w:cs="Arial"/>
          <w:b/>
          <w:caps/>
          <w:sz w:val="22"/>
          <w:szCs w:val="22"/>
          <w:lang w:val="el-GR"/>
        </w:rPr>
        <w:t xml:space="preserve">παροχή υπηρεσιών συντήρησης-λειτουργικής υποστήριξης των κτιριακών, ηλεκτρομηχανολογικών εγκαταστάσεων και των χώρων πρασίνου του Διεθνούς Εκθεσιακού και Συνεδριακού κέντρου Θεσσαλονίκης της ΔΕΘ-ΗΕLΕΧΡΟ ΑΕ </w:t>
      </w:r>
      <w:r w:rsidRPr="007B5A53">
        <w:rPr>
          <w:rFonts w:ascii="Arial" w:hAnsi="Arial" w:cs="Arial"/>
          <w:b/>
          <w:caps/>
          <w:sz w:val="22"/>
          <w:szCs w:val="22"/>
          <w:u w:val="single"/>
          <w:lang w:val="el-GR"/>
        </w:rPr>
        <w:t xml:space="preserve">ΓΙΑ </w:t>
      </w:r>
      <w:r w:rsidRPr="007B5A53">
        <w:rPr>
          <w:rFonts w:ascii="Arial" w:hAnsi="Arial" w:cs="Arial"/>
          <w:b/>
          <w:caps/>
          <w:sz w:val="22"/>
          <w:szCs w:val="22"/>
          <w:u w:val="single"/>
          <w:lang w:val="en-US"/>
        </w:rPr>
        <w:t>ena</w:t>
      </w:r>
      <w:r w:rsidRPr="007B5A53">
        <w:rPr>
          <w:rFonts w:ascii="Arial" w:hAnsi="Arial" w:cs="Arial"/>
          <w:b/>
          <w:caps/>
          <w:sz w:val="22"/>
          <w:szCs w:val="22"/>
          <w:u w:val="single"/>
          <w:lang w:val="el-GR"/>
        </w:rPr>
        <w:t xml:space="preserve"> Ετοσ</w:t>
      </w:r>
    </w:p>
    <w:p w14:paraId="3F57CDBF" w14:textId="77777777" w:rsidR="007B5A53" w:rsidRPr="007B5A53" w:rsidRDefault="007B5A53" w:rsidP="007B5A53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14:paraId="267CF3A7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4413"/>
      </w:tblGrid>
      <w:tr w:rsidR="007B5A53" w:rsidRPr="007B5A53" w14:paraId="50533A96" w14:textId="77777777" w:rsidTr="001E127C">
        <w:trPr>
          <w:trHeight w:val="740"/>
          <w:jc w:val="center"/>
        </w:trPr>
        <w:tc>
          <w:tcPr>
            <w:tcW w:w="3047" w:type="dxa"/>
            <w:vAlign w:val="center"/>
          </w:tcPr>
          <w:p w14:paraId="229C0A49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Α1 </w:t>
            </w:r>
          </w:p>
        </w:tc>
        <w:tc>
          <w:tcPr>
            <w:tcW w:w="4413" w:type="dxa"/>
            <w:vAlign w:val="center"/>
          </w:tcPr>
          <w:p w14:paraId="57436A56" w14:textId="77777777" w:rsidR="007B5A53" w:rsidRPr="007B5A53" w:rsidRDefault="007B5A53" w:rsidP="007B5A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7B5A53" w:rsidRPr="007B5A53" w14:paraId="258212D9" w14:textId="77777777" w:rsidTr="001E127C">
        <w:trPr>
          <w:trHeight w:val="740"/>
          <w:jc w:val="center"/>
        </w:trPr>
        <w:tc>
          <w:tcPr>
            <w:tcW w:w="3047" w:type="dxa"/>
            <w:vAlign w:val="center"/>
          </w:tcPr>
          <w:p w14:paraId="23FB6210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Α2</w:t>
            </w:r>
          </w:p>
        </w:tc>
        <w:tc>
          <w:tcPr>
            <w:tcW w:w="4413" w:type="dxa"/>
            <w:vAlign w:val="center"/>
          </w:tcPr>
          <w:p w14:paraId="7DEDC3EB" w14:textId="77777777" w:rsidR="007B5A53" w:rsidRPr="007B5A53" w:rsidRDefault="007B5A53" w:rsidP="007B5A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7B5A53" w:rsidRPr="007B5A53" w14:paraId="50413807" w14:textId="77777777" w:rsidTr="001E127C">
        <w:trPr>
          <w:trHeight w:val="740"/>
          <w:jc w:val="center"/>
        </w:trPr>
        <w:tc>
          <w:tcPr>
            <w:tcW w:w="3047" w:type="dxa"/>
            <w:vAlign w:val="center"/>
          </w:tcPr>
          <w:p w14:paraId="0A19C7B5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Α3</w:t>
            </w:r>
          </w:p>
        </w:tc>
        <w:tc>
          <w:tcPr>
            <w:tcW w:w="4413" w:type="dxa"/>
            <w:tcBorders>
              <w:bottom w:val="single" w:sz="18" w:space="0" w:color="auto"/>
            </w:tcBorders>
            <w:vAlign w:val="center"/>
          </w:tcPr>
          <w:p w14:paraId="1A0F1910" w14:textId="77777777" w:rsidR="007B5A53" w:rsidRPr="007B5A53" w:rsidRDefault="007B5A53" w:rsidP="007B5A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7B5A53" w:rsidRPr="007B5A53" w14:paraId="7A356B1C" w14:textId="77777777" w:rsidTr="001E127C">
        <w:trPr>
          <w:trHeight w:val="740"/>
          <w:jc w:val="center"/>
        </w:trPr>
        <w:tc>
          <w:tcPr>
            <w:tcW w:w="3047" w:type="dxa"/>
            <w:vAlign w:val="center"/>
          </w:tcPr>
          <w:p w14:paraId="710F4DBD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Σύνολο αμοιβής Α</w:t>
            </w:r>
          </w:p>
          <w:p w14:paraId="73264CC2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όπου (Α=Α1+Α2+Α3)</w:t>
            </w:r>
          </w:p>
          <w:p w14:paraId="1F5BAD7B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(σε ευρώ χωρίς ΦΠΑ)</w:t>
            </w:r>
          </w:p>
        </w:tc>
        <w:tc>
          <w:tcPr>
            <w:tcW w:w="4413" w:type="dxa"/>
            <w:tcBorders>
              <w:top w:val="single" w:sz="18" w:space="0" w:color="auto"/>
            </w:tcBorders>
            <w:vAlign w:val="center"/>
          </w:tcPr>
          <w:p w14:paraId="1B1B1D08" w14:textId="77777777" w:rsidR="007B5A53" w:rsidRPr="007B5A53" w:rsidRDefault="007B5A53" w:rsidP="007B5A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7B5A53" w:rsidRPr="007B5A53" w14:paraId="2207FCE7" w14:textId="77777777" w:rsidTr="001E127C">
        <w:trPr>
          <w:trHeight w:val="740"/>
          <w:jc w:val="center"/>
        </w:trPr>
        <w:tc>
          <w:tcPr>
            <w:tcW w:w="3047" w:type="dxa"/>
            <w:vAlign w:val="center"/>
          </w:tcPr>
          <w:p w14:paraId="6E5AFBA4" w14:textId="77777777" w:rsidR="007B5A53" w:rsidRPr="007B5A53" w:rsidRDefault="007B5A53" w:rsidP="007B5A5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sz w:val="20"/>
                <w:szCs w:val="20"/>
                <w:lang w:val="el-GR"/>
              </w:rPr>
              <w:t>Ολογράφως</w:t>
            </w:r>
          </w:p>
        </w:tc>
        <w:tc>
          <w:tcPr>
            <w:tcW w:w="4413" w:type="dxa"/>
            <w:vAlign w:val="center"/>
          </w:tcPr>
          <w:p w14:paraId="3374C721" w14:textId="77777777" w:rsidR="007B5A53" w:rsidRPr="007B5A53" w:rsidRDefault="007B5A53" w:rsidP="007B5A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14:paraId="277E0170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2809DF29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DC2E796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593B281A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D7E59A4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7B5A53">
        <w:rPr>
          <w:rFonts w:ascii="Arial" w:hAnsi="Arial" w:cs="Arial"/>
          <w:b/>
          <w:bCs/>
          <w:sz w:val="22"/>
          <w:szCs w:val="22"/>
          <w:lang w:val="el-GR"/>
        </w:rPr>
        <w:t>Το Α μεταφέρεται στον Πίνακα 5.</w:t>
      </w:r>
    </w:p>
    <w:p w14:paraId="0341CD83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0E75C168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568969B4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70A914B3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18C0FF7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154D30CE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4D55F98B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765337DD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7193087A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30B91F71" w14:textId="77777777" w:rsidR="007B5A53" w:rsidRPr="007B5A53" w:rsidRDefault="007B5A53" w:rsidP="007B5A53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14:paraId="3C74D9E1" w14:textId="77777777" w:rsidR="007B5A53" w:rsidRPr="007B5A53" w:rsidRDefault="007B5A53" w:rsidP="007B5A53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7B5A53">
        <w:rPr>
          <w:rFonts w:ascii="Arial" w:hAnsi="Arial" w:cs="Arial"/>
          <w:b/>
          <w:bCs/>
          <w:sz w:val="22"/>
          <w:szCs w:val="22"/>
          <w:lang w:val="el-GR"/>
        </w:rPr>
        <w:lastRenderedPageBreak/>
        <w:t>ΠΙΝΑΚΑΣ 5 ΓΙΑ ΠΡΟΣΦΕΡΟΜΕΝΟ ΤΙΜΗΜΑ ΚΑΙ ΔΙΚΑΙΩΜΑΤΑ ΠΡΟΑΙΡΕΣΗΣ</w:t>
      </w:r>
    </w:p>
    <w:p w14:paraId="69D7563E" w14:textId="77777777" w:rsidR="007B5A53" w:rsidRPr="007B5A53" w:rsidRDefault="007B5A53" w:rsidP="007B5A53">
      <w:pPr>
        <w:rPr>
          <w:rFonts w:ascii="Arial" w:hAnsi="Arial" w:cs="Arial"/>
          <w:noProof/>
          <w:sz w:val="22"/>
          <w:szCs w:val="22"/>
          <w:lang w:val="el-GR"/>
        </w:rPr>
      </w:pPr>
    </w:p>
    <w:p w14:paraId="051469A2" w14:textId="77777777" w:rsidR="007B5A53" w:rsidRPr="007B5A53" w:rsidRDefault="007B5A53" w:rsidP="007B5A53">
      <w:pPr>
        <w:rPr>
          <w:rFonts w:ascii="Arial" w:hAnsi="Arial" w:cs="Arial"/>
          <w:noProof/>
          <w:sz w:val="22"/>
          <w:szCs w:val="22"/>
          <w:lang w:val="el-GR"/>
        </w:rPr>
      </w:pPr>
    </w:p>
    <w:tbl>
      <w:tblPr>
        <w:tblW w:w="10968" w:type="dxa"/>
        <w:jc w:val="center"/>
        <w:tblLook w:val="04A0" w:firstRow="1" w:lastRow="0" w:firstColumn="1" w:lastColumn="0" w:noHBand="0" w:noVBand="1"/>
      </w:tblPr>
      <w:tblGrid>
        <w:gridCol w:w="3278"/>
        <w:gridCol w:w="1657"/>
        <w:gridCol w:w="2011"/>
        <w:gridCol w:w="2011"/>
        <w:gridCol w:w="2011"/>
      </w:tblGrid>
      <w:tr w:rsidR="007B5A53" w:rsidRPr="007B5A53" w14:paraId="1A82A2B8" w14:textId="77777777" w:rsidTr="001E127C">
        <w:trPr>
          <w:trHeight w:val="1515"/>
          <w:jc w:val="center"/>
        </w:trPr>
        <w:tc>
          <w:tcPr>
            <w:tcW w:w="327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B252EE9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(σε ευρώ)</w:t>
            </w:r>
          </w:p>
        </w:tc>
        <w:tc>
          <w:tcPr>
            <w:tcW w:w="1657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C85904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Συνολικό κόστος έτους σύμβασης (α)</w:t>
            </w:r>
          </w:p>
        </w:tc>
        <w:tc>
          <w:tcPr>
            <w:tcW w:w="2011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0AFD333D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Δικαίωμα προαίρεσης 1 έτους (β=α)</w:t>
            </w:r>
          </w:p>
        </w:tc>
        <w:tc>
          <w:tcPr>
            <w:tcW w:w="201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2EA36229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Δικαίωμα προαίρεσης  επί του συνολικού κόστους έτους σύμβασης (α) έως 40% (γ)</w:t>
            </w:r>
          </w:p>
        </w:tc>
        <w:tc>
          <w:tcPr>
            <w:tcW w:w="2011" w:type="dxa"/>
            <w:tcBorders>
              <w:top w:val="single" w:sz="8" w:space="0" w:color="808080"/>
              <w:left w:val="single" w:sz="12" w:space="0" w:color="808080"/>
              <w:bottom w:val="single" w:sz="4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4CF97ECF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Συνολικό κόστος (</w:t>
            </w:r>
            <w:proofErr w:type="spellStart"/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α+β+γ</w:t>
            </w:r>
            <w:proofErr w:type="spellEnd"/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7B5A53" w:rsidRPr="007B5A53" w14:paraId="375C016F" w14:textId="77777777" w:rsidTr="001E127C">
        <w:trPr>
          <w:trHeight w:val="507"/>
          <w:jc w:val="center"/>
        </w:trPr>
        <w:tc>
          <w:tcPr>
            <w:tcW w:w="3278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A92651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Ποσό άνευ Φ.Π.Α.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42FB11E" w14:textId="77777777" w:rsidR="007B5A53" w:rsidRPr="007B5A53" w:rsidRDefault="007B5A53" w:rsidP="007B5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(Α)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4AA8E83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E29FD6D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12" w:space="0" w:color="808080"/>
              <w:bottom w:val="single" w:sz="4" w:space="0" w:color="808080"/>
              <w:right w:val="single" w:sz="8" w:space="0" w:color="808080"/>
            </w:tcBorders>
            <w:shd w:val="clear" w:color="000000" w:fill="F2F2F2"/>
            <w:noWrap/>
            <w:vAlign w:val="bottom"/>
            <w:hideMark/>
          </w:tcPr>
          <w:p w14:paraId="4BEBFD2A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B5A53" w:rsidRPr="007B5A53" w14:paraId="4BD82858" w14:textId="77777777" w:rsidTr="001E127C">
        <w:trPr>
          <w:trHeight w:val="507"/>
          <w:jc w:val="center"/>
        </w:trPr>
        <w:tc>
          <w:tcPr>
            <w:tcW w:w="327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FAFDC9C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8AF2BFA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33717D1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399B2D3" w14:textId="77777777" w:rsidR="007B5A53" w:rsidRPr="007B5A53" w:rsidRDefault="007B5A53" w:rsidP="007B5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2" w:space="0" w:color="808080"/>
              <w:bottom w:val="single" w:sz="18" w:space="0" w:color="auto"/>
              <w:right w:val="single" w:sz="12" w:space="0" w:color="808080"/>
            </w:tcBorders>
            <w:shd w:val="clear" w:color="000000" w:fill="F2F2F2"/>
            <w:noWrap/>
            <w:vAlign w:val="bottom"/>
            <w:hideMark/>
          </w:tcPr>
          <w:p w14:paraId="5A6E12E8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B5A53" w:rsidRPr="007B5A53" w14:paraId="31E163BD" w14:textId="77777777" w:rsidTr="001E127C">
        <w:trPr>
          <w:trHeight w:val="507"/>
          <w:jc w:val="center"/>
        </w:trPr>
        <w:tc>
          <w:tcPr>
            <w:tcW w:w="3278" w:type="dxa"/>
            <w:tcBorders>
              <w:top w:val="nil"/>
              <w:left w:val="single" w:sz="8" w:space="0" w:color="808080"/>
              <w:bottom w:val="double" w:sz="6" w:space="0" w:color="auto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E909E8C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Σύνολο</w:t>
            </w:r>
            <w:proofErr w:type="spellEnd"/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</w:t>
            </w:r>
            <w:proofErr w:type="spellEnd"/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ΦΠΑ</w:t>
            </w:r>
          </w:p>
        </w:tc>
        <w:tc>
          <w:tcPr>
            <w:tcW w:w="1657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D1F2DE3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0302CD0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1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40F1E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2" w:space="0" w:color="808080"/>
              <w:bottom w:val="double" w:sz="6" w:space="0" w:color="auto"/>
              <w:right w:val="single" w:sz="12" w:space="0" w:color="808080"/>
            </w:tcBorders>
            <w:shd w:val="clear" w:color="000000" w:fill="F2F2F2"/>
            <w:noWrap/>
            <w:vAlign w:val="bottom"/>
            <w:hideMark/>
          </w:tcPr>
          <w:p w14:paraId="4F34A66C" w14:textId="77777777" w:rsidR="007B5A53" w:rsidRPr="007B5A53" w:rsidRDefault="007B5A53" w:rsidP="007B5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5A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EBC0FB8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7FB3D94F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31A4B93D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76337A6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  <w:r w:rsidRPr="007B5A53">
        <w:rPr>
          <w:rFonts w:ascii="Arial" w:hAnsi="Arial" w:cs="Arial"/>
          <w:b/>
          <w:sz w:val="20"/>
          <w:szCs w:val="20"/>
          <w:lang w:val="el-GR"/>
        </w:rPr>
        <w:t>Θεσσαλονίκη,            /       /2025</w:t>
      </w:r>
    </w:p>
    <w:p w14:paraId="545A90A7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316C3D19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2070A72D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  <w:r w:rsidRPr="007B5A53">
        <w:rPr>
          <w:rFonts w:ascii="Arial" w:hAnsi="Arial" w:cs="Arial"/>
          <w:b/>
          <w:sz w:val="20"/>
          <w:szCs w:val="20"/>
          <w:lang w:val="el-GR"/>
        </w:rPr>
        <w:t>Ο Προσφέρων</w:t>
      </w:r>
    </w:p>
    <w:p w14:paraId="1CCA1A94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106A6035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5BF98CD2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lang w:val="el-GR"/>
        </w:rPr>
      </w:pPr>
    </w:p>
    <w:p w14:paraId="0F9C3DA4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7B5A53">
        <w:rPr>
          <w:rFonts w:ascii="Arial" w:hAnsi="Arial" w:cs="Arial"/>
          <w:b/>
          <w:sz w:val="20"/>
          <w:szCs w:val="20"/>
          <w:u w:val="single"/>
          <w:lang w:val="el-GR"/>
        </w:rPr>
        <w:t>Διευκρινήσεις συμπλήρωσης Πινάκων 1,2,3,4,5:</w:t>
      </w:r>
    </w:p>
    <w:p w14:paraId="77F57EE3" w14:textId="77777777" w:rsidR="007B5A53" w:rsidRPr="007B5A53" w:rsidRDefault="007B5A53" w:rsidP="007B5A53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14:paraId="2011C127" w14:textId="77777777" w:rsidR="007B5A53" w:rsidRPr="007B5A53" w:rsidRDefault="007B5A53" w:rsidP="007B5A53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B5A53">
        <w:rPr>
          <w:rFonts w:ascii="Arial" w:hAnsi="Arial" w:cs="Arial"/>
          <w:b/>
          <w:sz w:val="20"/>
          <w:szCs w:val="20"/>
          <w:lang w:val="el-GR"/>
        </w:rPr>
        <w:t xml:space="preserve">Στις στήλες αναγράφονται οι τιμές </w:t>
      </w:r>
      <w:proofErr w:type="spellStart"/>
      <w:r w:rsidRPr="007B5A53">
        <w:rPr>
          <w:rFonts w:ascii="Arial" w:hAnsi="Arial" w:cs="Arial"/>
          <w:b/>
          <w:sz w:val="20"/>
          <w:szCs w:val="20"/>
          <w:lang w:val="el-GR"/>
        </w:rPr>
        <w:t>μονάδος</w:t>
      </w:r>
      <w:proofErr w:type="spellEnd"/>
      <w:r w:rsidRPr="007B5A53">
        <w:rPr>
          <w:rFonts w:ascii="Arial" w:hAnsi="Arial" w:cs="Arial"/>
          <w:b/>
          <w:sz w:val="20"/>
          <w:szCs w:val="20"/>
          <w:lang w:val="el-GR"/>
        </w:rPr>
        <w:t xml:space="preserve"> σε ευρώ χωρίς ΦΠΑ. </w:t>
      </w:r>
      <w:r w:rsidRPr="007B5A53">
        <w:rPr>
          <w:rFonts w:ascii="Arial" w:hAnsi="Arial" w:cs="Arial"/>
          <w:sz w:val="20"/>
          <w:szCs w:val="20"/>
          <w:lang w:val="el-GR"/>
        </w:rPr>
        <w:t>Οποιοδήποτε ποσό αναγράφεται θα πρέπει να είναι στρογγυλοποιημένο στο δεύτερο δεκαδικό ψηφίο επί ποινή απορρίψεως της οικονομικής προσφοράς. Ως κανόνες στρογγυλοποίησης ισχύουν τα εξής: αν το ψηφίο της επόμενης προς τα δεξιά τάξης είναι 0, 1, 2, 3 ή 4, παραμένουν τα ψηφία του αριθμού όπως είναι μέχρι και την τάξη που γίνεται η στρογγυλοποίηση. Αν το ψηφίο της επόμενης προς τα δεξιά τάξης είναι 5, 6, 7, 8 ή 9, αυξάνεται κατά μία μονάδα το ψηφίο της τάξης που γίνεται η στρογγυλοποίηση.</w:t>
      </w:r>
    </w:p>
    <w:p w14:paraId="642BC437" w14:textId="77777777" w:rsidR="007B5A53" w:rsidRPr="007B5A53" w:rsidRDefault="007B5A53" w:rsidP="007B5A53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B5A53">
        <w:rPr>
          <w:rFonts w:ascii="Arial" w:hAnsi="Arial" w:cs="Arial"/>
          <w:b/>
          <w:sz w:val="20"/>
          <w:szCs w:val="20"/>
          <w:lang w:val="el-GR"/>
        </w:rPr>
        <w:t>Οι προσαυξήσεις στην αμοιβή του προσωπικού (Υπερεργασία, Υπερωρία, Αργίες κ.τ.λ.) υπολογίζονται με βάση την κείμενη νομοθεσία</w:t>
      </w:r>
    </w:p>
    <w:p w14:paraId="11A68EFE" w14:textId="7E136405" w:rsidR="00462904" w:rsidRPr="007B5A53" w:rsidRDefault="007B5A53" w:rsidP="007B5A53">
      <w:pPr>
        <w:rPr>
          <w:lang w:val="el-GR"/>
        </w:rPr>
      </w:pPr>
      <w:r w:rsidRPr="007B5A53">
        <w:rPr>
          <w:rFonts w:cs="Arial"/>
          <w:b/>
          <w:szCs w:val="20"/>
          <w:lang w:val="el-GR"/>
        </w:rPr>
        <w:t>Τα προτεινόμενα ημερομίσθια και υπερωρίες αναφέρονται σε διαφορετικά χρονικά διαστήματα και όχι υποχρεωτικά  συνεχόμενους χρόνους απασχόλησης.</w:t>
      </w:r>
    </w:p>
    <w:sectPr w:rsidR="00462904" w:rsidRPr="007B5A53" w:rsidSect="007B5A53">
      <w:pgSz w:w="16838" w:h="11906" w:orient="landscape"/>
      <w:pgMar w:top="1191" w:right="1103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2747" w14:textId="77777777" w:rsidR="007B5A53" w:rsidRDefault="007B5A53" w:rsidP="007B5A53">
      <w:r>
        <w:separator/>
      </w:r>
    </w:p>
  </w:endnote>
  <w:endnote w:type="continuationSeparator" w:id="0">
    <w:p w14:paraId="5F1DCAA2" w14:textId="77777777" w:rsidR="007B5A53" w:rsidRDefault="007B5A53" w:rsidP="007B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85E29" w14:textId="77777777" w:rsidR="007B5A53" w:rsidRDefault="007B5A53" w:rsidP="007B5A53">
      <w:r>
        <w:separator/>
      </w:r>
    </w:p>
  </w:footnote>
  <w:footnote w:type="continuationSeparator" w:id="0">
    <w:p w14:paraId="069D9DB5" w14:textId="77777777" w:rsidR="007B5A53" w:rsidRDefault="007B5A53" w:rsidP="007B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35C6"/>
    <w:multiLevelType w:val="hybridMultilevel"/>
    <w:tmpl w:val="38208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922"/>
    <w:multiLevelType w:val="hybridMultilevel"/>
    <w:tmpl w:val="CCC41B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D1ECF"/>
    <w:multiLevelType w:val="hybridMultilevel"/>
    <w:tmpl w:val="32FEAA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51A9"/>
    <w:multiLevelType w:val="hybridMultilevel"/>
    <w:tmpl w:val="28DE425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72433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29400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636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286324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5571422">
    <w:abstractNumId w:val="2"/>
  </w:num>
  <w:num w:numId="6" w16cid:durableId="640116359">
    <w:abstractNumId w:val="3"/>
  </w:num>
  <w:num w:numId="7" w16cid:durableId="582955552">
    <w:abstractNumId w:val="1"/>
  </w:num>
  <w:num w:numId="8" w16cid:durableId="13731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1A4"/>
    <w:rsid w:val="00244A7B"/>
    <w:rsid w:val="00462904"/>
    <w:rsid w:val="005458C1"/>
    <w:rsid w:val="007B5A53"/>
    <w:rsid w:val="00D951A4"/>
    <w:rsid w:val="00F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961"/>
  <w15:docId w15:val="{F8169223-699B-470A-A241-EED4A49B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5A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B5A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0"/>
    <w:uiPriority w:val="99"/>
    <w:unhideWhenUsed/>
    <w:rsid w:val="007B5A5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B5A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Simos Apsis</dc:creator>
  <cp:lastModifiedBy>Simos Apsis</cp:lastModifiedBy>
  <cp:revision>3</cp:revision>
  <dcterms:created xsi:type="dcterms:W3CDTF">2021-08-24T13:04:00Z</dcterms:created>
  <dcterms:modified xsi:type="dcterms:W3CDTF">2025-04-17T10:02:00Z</dcterms:modified>
</cp:coreProperties>
</file>